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0E" w:rsidRPr="00EA710E" w:rsidRDefault="00EA710E" w:rsidP="00EA710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A710E">
        <w:rPr>
          <w:rFonts w:ascii="Times New Roman" w:hAnsi="Times New Roman" w:cs="Times New Roman"/>
          <w:b/>
          <w:sz w:val="28"/>
        </w:rPr>
        <w:t>Динамика показателей освоения воспитанниками образовательной программы по итогам внутреннего мониторинга (по результатам педагогической диагностики)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b/>
          <w:sz w:val="28"/>
        </w:rPr>
        <w:t>Цель:</w:t>
      </w:r>
      <w:r w:rsidRPr="00EA710E">
        <w:rPr>
          <w:rFonts w:ascii="Times New Roman" w:hAnsi="Times New Roman" w:cs="Times New Roman"/>
          <w:sz w:val="28"/>
        </w:rPr>
        <w:t xml:space="preserve"> определить степень освоения детьми общеобразовательной программы дошкольного учреждения и влияние образовательного процесса, организуемого в дошкольном учреждении, на развитие ребенка.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EA710E">
        <w:rPr>
          <w:rFonts w:ascii="Times New Roman" w:hAnsi="Times New Roman" w:cs="Times New Roman"/>
          <w:b/>
          <w:sz w:val="28"/>
        </w:rPr>
        <w:t xml:space="preserve">Задачи: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t xml:space="preserve">1. определить уровень развития детей по пяти образовательным областям;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t xml:space="preserve">2. определить уровень развития по группе в целом;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t xml:space="preserve">3. оптимизировать работу с детьми, наметить направление работы по итогам мониторинга по группе в целом;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t xml:space="preserve">4. определить образовательную траекторию развития каждого ребенка.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t xml:space="preserve">Методы диагностики: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наблюдение;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итоговые упражнения;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индивидуальная беседа;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беседа с родителями с учетом анкетирования.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t xml:space="preserve">Обследование проводилось по пяти образовательным областям: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Социально-коммуникативное развитие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Физическое развитие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Художественно-эстетическое развитие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Речевое развитие </w:t>
      </w:r>
    </w:p>
    <w:p w:rsidR="00EA710E" w:rsidRPr="00EA710E" w:rsidRDefault="00EA710E" w:rsidP="00EA710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sym w:font="Symbol" w:char="F02D"/>
      </w:r>
      <w:r w:rsidRPr="00EA710E">
        <w:rPr>
          <w:rFonts w:ascii="Times New Roman" w:hAnsi="Times New Roman" w:cs="Times New Roman"/>
          <w:sz w:val="28"/>
        </w:rPr>
        <w:t xml:space="preserve"> Познавательное развитие </w:t>
      </w:r>
    </w:p>
    <w:p w:rsidR="00EA710E" w:rsidRDefault="00EA710E" w:rsidP="00EA710E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713F4" w:rsidRDefault="00EA710E" w:rsidP="00EA710E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A710E">
        <w:rPr>
          <w:rFonts w:ascii="Times New Roman" w:hAnsi="Times New Roman" w:cs="Times New Roman"/>
          <w:sz w:val="28"/>
        </w:rPr>
        <w:lastRenderedPageBreak/>
        <w:t>Таблица мониторинга освоения воспитанниками подготовительной группы образовательных программ за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9"/>
        <w:gridCol w:w="1176"/>
        <w:gridCol w:w="1258"/>
        <w:gridCol w:w="1048"/>
        <w:gridCol w:w="1138"/>
        <w:gridCol w:w="1270"/>
        <w:gridCol w:w="1097"/>
      </w:tblGrid>
      <w:tr w:rsidR="00EA710E" w:rsidTr="007B12E3">
        <w:trPr>
          <w:trHeight w:val="204"/>
        </w:trPr>
        <w:tc>
          <w:tcPr>
            <w:tcW w:w="3469" w:type="dxa"/>
            <w:vMerge w:val="restart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Образовательная область</w:t>
            </w:r>
          </w:p>
        </w:tc>
        <w:tc>
          <w:tcPr>
            <w:tcW w:w="3482" w:type="dxa"/>
            <w:gridSpan w:val="3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</w:p>
        </w:tc>
        <w:tc>
          <w:tcPr>
            <w:tcW w:w="3505" w:type="dxa"/>
            <w:gridSpan w:val="3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</w:p>
        </w:tc>
      </w:tr>
      <w:tr w:rsidR="00EA710E" w:rsidTr="007B12E3">
        <w:trPr>
          <w:trHeight w:val="178"/>
        </w:trPr>
        <w:tc>
          <w:tcPr>
            <w:tcW w:w="3469" w:type="dxa"/>
            <w:vMerge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82" w:type="dxa"/>
            <w:gridSpan w:val="3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3505" w:type="dxa"/>
            <w:gridSpan w:val="3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710E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</w:tr>
      <w:tr w:rsidR="00EA710E" w:rsidTr="007B12E3">
        <w:trPr>
          <w:trHeight w:val="180"/>
        </w:trPr>
        <w:tc>
          <w:tcPr>
            <w:tcW w:w="3469" w:type="dxa"/>
            <w:vMerge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6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1258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1048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  <w:tc>
          <w:tcPr>
            <w:tcW w:w="1138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1270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1097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710E"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EA710E" w:rsidTr="007B12E3">
        <w:tc>
          <w:tcPr>
            <w:tcW w:w="3469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1176" w:type="dxa"/>
          </w:tcPr>
          <w:p w:rsidR="00EA710E" w:rsidRPr="007B12E3" w:rsidRDefault="00340A1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29%</w:t>
            </w:r>
          </w:p>
        </w:tc>
        <w:tc>
          <w:tcPr>
            <w:tcW w:w="125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46%</w:t>
            </w:r>
          </w:p>
        </w:tc>
        <w:tc>
          <w:tcPr>
            <w:tcW w:w="104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25%</w:t>
            </w:r>
          </w:p>
        </w:tc>
        <w:tc>
          <w:tcPr>
            <w:tcW w:w="113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38%</w:t>
            </w:r>
          </w:p>
        </w:tc>
        <w:tc>
          <w:tcPr>
            <w:tcW w:w="1270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60%</w:t>
            </w:r>
          </w:p>
        </w:tc>
        <w:tc>
          <w:tcPr>
            <w:tcW w:w="1097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2%</w:t>
            </w:r>
          </w:p>
        </w:tc>
      </w:tr>
      <w:tr w:rsidR="00EA710E" w:rsidTr="007B12E3">
        <w:tc>
          <w:tcPr>
            <w:tcW w:w="3469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</w:tc>
        <w:tc>
          <w:tcPr>
            <w:tcW w:w="1176" w:type="dxa"/>
          </w:tcPr>
          <w:p w:rsidR="00EA710E" w:rsidRPr="007B12E3" w:rsidRDefault="00340A1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24%</w:t>
            </w:r>
          </w:p>
        </w:tc>
        <w:tc>
          <w:tcPr>
            <w:tcW w:w="125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49%</w:t>
            </w:r>
          </w:p>
        </w:tc>
        <w:tc>
          <w:tcPr>
            <w:tcW w:w="104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27%</w:t>
            </w:r>
          </w:p>
        </w:tc>
        <w:tc>
          <w:tcPr>
            <w:tcW w:w="113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35%</w:t>
            </w:r>
          </w:p>
        </w:tc>
        <w:tc>
          <w:tcPr>
            <w:tcW w:w="1270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63%</w:t>
            </w:r>
          </w:p>
        </w:tc>
        <w:tc>
          <w:tcPr>
            <w:tcW w:w="1097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2%</w:t>
            </w:r>
          </w:p>
        </w:tc>
      </w:tr>
      <w:tr w:rsidR="00EA710E" w:rsidTr="007B12E3">
        <w:tc>
          <w:tcPr>
            <w:tcW w:w="3469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1176" w:type="dxa"/>
          </w:tcPr>
          <w:p w:rsidR="00EA710E" w:rsidRPr="007B12E3" w:rsidRDefault="00340A1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31%</w:t>
            </w:r>
          </w:p>
        </w:tc>
        <w:tc>
          <w:tcPr>
            <w:tcW w:w="125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41%</w:t>
            </w:r>
          </w:p>
        </w:tc>
        <w:tc>
          <w:tcPr>
            <w:tcW w:w="104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28%</w:t>
            </w:r>
          </w:p>
        </w:tc>
        <w:tc>
          <w:tcPr>
            <w:tcW w:w="113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41%</w:t>
            </w:r>
          </w:p>
        </w:tc>
        <w:tc>
          <w:tcPr>
            <w:tcW w:w="1270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59%</w:t>
            </w:r>
          </w:p>
        </w:tc>
        <w:tc>
          <w:tcPr>
            <w:tcW w:w="1097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EA710E" w:rsidTr="007B12E3">
        <w:tc>
          <w:tcPr>
            <w:tcW w:w="3469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Художественно-эстетическое развитие</w:t>
            </w:r>
          </w:p>
        </w:tc>
        <w:tc>
          <w:tcPr>
            <w:tcW w:w="1176" w:type="dxa"/>
          </w:tcPr>
          <w:p w:rsidR="00EA710E" w:rsidRPr="007B12E3" w:rsidRDefault="00340A1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30%</w:t>
            </w:r>
          </w:p>
        </w:tc>
        <w:tc>
          <w:tcPr>
            <w:tcW w:w="125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43%</w:t>
            </w:r>
          </w:p>
        </w:tc>
        <w:tc>
          <w:tcPr>
            <w:tcW w:w="104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27%</w:t>
            </w:r>
          </w:p>
        </w:tc>
        <w:tc>
          <w:tcPr>
            <w:tcW w:w="113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42%</w:t>
            </w:r>
          </w:p>
        </w:tc>
        <w:tc>
          <w:tcPr>
            <w:tcW w:w="1270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58%</w:t>
            </w:r>
          </w:p>
        </w:tc>
        <w:tc>
          <w:tcPr>
            <w:tcW w:w="1097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EA710E" w:rsidTr="007B12E3">
        <w:tc>
          <w:tcPr>
            <w:tcW w:w="3469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 развитие</w:t>
            </w:r>
          </w:p>
        </w:tc>
        <w:tc>
          <w:tcPr>
            <w:tcW w:w="1176" w:type="dxa"/>
          </w:tcPr>
          <w:p w:rsidR="00EA710E" w:rsidRPr="007B12E3" w:rsidRDefault="00340A1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32%</w:t>
            </w:r>
          </w:p>
        </w:tc>
        <w:tc>
          <w:tcPr>
            <w:tcW w:w="125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38%</w:t>
            </w:r>
          </w:p>
        </w:tc>
        <w:tc>
          <w:tcPr>
            <w:tcW w:w="104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30%</w:t>
            </w:r>
          </w:p>
        </w:tc>
        <w:tc>
          <w:tcPr>
            <w:tcW w:w="1138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44%</w:t>
            </w:r>
          </w:p>
        </w:tc>
        <w:tc>
          <w:tcPr>
            <w:tcW w:w="1270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55%</w:t>
            </w:r>
          </w:p>
        </w:tc>
        <w:tc>
          <w:tcPr>
            <w:tcW w:w="1097" w:type="dxa"/>
          </w:tcPr>
          <w:p w:rsidR="00EA710E" w:rsidRPr="007B12E3" w:rsidRDefault="00E530C5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1%</w:t>
            </w:r>
          </w:p>
        </w:tc>
      </w:tr>
      <w:tr w:rsidR="00EA710E" w:rsidTr="007B12E3">
        <w:tc>
          <w:tcPr>
            <w:tcW w:w="3469" w:type="dxa"/>
          </w:tcPr>
          <w:p w:rsidR="00EA710E" w:rsidRPr="00EA710E" w:rsidRDefault="00EA710E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176" w:type="dxa"/>
          </w:tcPr>
          <w:p w:rsidR="00EA710E" w:rsidRPr="007B12E3" w:rsidRDefault="007B12E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29%</w:t>
            </w:r>
          </w:p>
        </w:tc>
        <w:tc>
          <w:tcPr>
            <w:tcW w:w="1258" w:type="dxa"/>
          </w:tcPr>
          <w:p w:rsidR="00EA710E" w:rsidRPr="007B12E3" w:rsidRDefault="007B12E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43%</w:t>
            </w:r>
          </w:p>
        </w:tc>
        <w:tc>
          <w:tcPr>
            <w:tcW w:w="1048" w:type="dxa"/>
          </w:tcPr>
          <w:p w:rsidR="00EA710E" w:rsidRPr="007B12E3" w:rsidRDefault="007B12E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27%</w:t>
            </w:r>
          </w:p>
        </w:tc>
        <w:tc>
          <w:tcPr>
            <w:tcW w:w="1138" w:type="dxa"/>
          </w:tcPr>
          <w:p w:rsidR="00EA710E" w:rsidRPr="007B12E3" w:rsidRDefault="007B12E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40%</w:t>
            </w:r>
          </w:p>
        </w:tc>
        <w:tc>
          <w:tcPr>
            <w:tcW w:w="1270" w:type="dxa"/>
          </w:tcPr>
          <w:p w:rsidR="00EA710E" w:rsidRPr="007B12E3" w:rsidRDefault="007B12E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59%</w:t>
            </w:r>
          </w:p>
        </w:tc>
        <w:tc>
          <w:tcPr>
            <w:tcW w:w="1097" w:type="dxa"/>
          </w:tcPr>
          <w:p w:rsidR="00EA710E" w:rsidRPr="007B12E3" w:rsidRDefault="007B12E3" w:rsidP="00EA7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12E3">
              <w:rPr>
                <w:rFonts w:ascii="Times New Roman" w:hAnsi="Times New Roman" w:cs="Times New Roman"/>
                <w:b/>
                <w:sz w:val="24"/>
              </w:rPr>
              <w:t>1%</w:t>
            </w:r>
          </w:p>
        </w:tc>
      </w:tr>
    </w:tbl>
    <w:p w:rsidR="007B12E3" w:rsidRPr="007B12E3" w:rsidRDefault="007B12E3" w:rsidP="007B12E3">
      <w:pPr>
        <w:spacing w:before="240" w:line="240" w:lineRule="auto"/>
        <w:jc w:val="center"/>
        <w:rPr>
          <w:rFonts w:ascii="Times New Roman" w:hAnsi="Times New Roman" w:cs="Times New Roman"/>
          <w:sz w:val="28"/>
        </w:rPr>
      </w:pPr>
      <w:r w:rsidRPr="007B12E3">
        <w:rPr>
          <w:rFonts w:ascii="Times New Roman" w:hAnsi="Times New Roman" w:cs="Times New Roman"/>
          <w:sz w:val="28"/>
        </w:rPr>
        <w:t>Диаграмма показателей освоения воспитанниками подготовительной группы</w:t>
      </w:r>
    </w:p>
    <w:p w:rsidR="00EA710E" w:rsidRDefault="007B12E3" w:rsidP="007B12E3">
      <w:pPr>
        <w:spacing w:before="240" w:line="240" w:lineRule="auto"/>
        <w:jc w:val="center"/>
        <w:rPr>
          <w:rFonts w:ascii="Times New Roman" w:hAnsi="Times New Roman" w:cs="Times New Roman"/>
          <w:sz w:val="28"/>
        </w:rPr>
      </w:pPr>
      <w:r w:rsidRPr="007B12E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бразовательной программы за 2022 - 2023</w:t>
      </w:r>
      <w:r w:rsidRPr="007B12E3">
        <w:rPr>
          <w:rFonts w:ascii="Times New Roman" w:hAnsi="Times New Roman" w:cs="Times New Roman"/>
          <w:sz w:val="28"/>
        </w:rPr>
        <w:t xml:space="preserve"> учебный год</w:t>
      </w:r>
    </w:p>
    <w:p w:rsidR="007B12E3" w:rsidRDefault="007B12E3" w:rsidP="007B12E3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B12E3" w:rsidRDefault="007B12E3" w:rsidP="007B12E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7497">
        <w:rPr>
          <w:rFonts w:ascii="Times New Roman" w:hAnsi="Times New Roman" w:cs="Times New Roman"/>
          <w:b/>
          <w:sz w:val="28"/>
        </w:rPr>
        <w:t>Выводы:</w:t>
      </w:r>
      <w:r>
        <w:rPr>
          <w:rFonts w:ascii="Times New Roman" w:hAnsi="Times New Roman" w:cs="Times New Roman"/>
          <w:sz w:val="28"/>
        </w:rPr>
        <w:t xml:space="preserve"> За период 2022-2023</w:t>
      </w:r>
      <w:r w:rsidRPr="007B12E3">
        <w:rPr>
          <w:rFonts w:ascii="Times New Roman" w:hAnsi="Times New Roman" w:cs="Times New Roman"/>
          <w:sz w:val="28"/>
        </w:rPr>
        <w:t xml:space="preserve"> учебный год проведена педагогическая</w:t>
      </w:r>
      <w:r>
        <w:rPr>
          <w:rFonts w:ascii="Times New Roman" w:hAnsi="Times New Roman" w:cs="Times New Roman"/>
          <w:sz w:val="28"/>
        </w:rPr>
        <w:t xml:space="preserve"> диагностика 28</w:t>
      </w:r>
      <w:r w:rsidRPr="007B12E3">
        <w:rPr>
          <w:rFonts w:ascii="Times New Roman" w:hAnsi="Times New Roman" w:cs="Times New Roman"/>
          <w:sz w:val="28"/>
        </w:rPr>
        <w:t xml:space="preserve"> ребенка в подготовительн</w:t>
      </w:r>
      <w:r>
        <w:rPr>
          <w:rFonts w:ascii="Times New Roman" w:hAnsi="Times New Roman" w:cs="Times New Roman"/>
          <w:sz w:val="28"/>
        </w:rPr>
        <w:t xml:space="preserve">ой группе дошкольного возраста. </w:t>
      </w:r>
      <w:r w:rsidRPr="007B12E3">
        <w:rPr>
          <w:rFonts w:ascii="Times New Roman" w:hAnsi="Times New Roman" w:cs="Times New Roman"/>
          <w:sz w:val="28"/>
        </w:rPr>
        <w:t>Благодаря совместной работе воспита</w:t>
      </w:r>
      <w:r>
        <w:rPr>
          <w:rFonts w:ascii="Times New Roman" w:hAnsi="Times New Roman" w:cs="Times New Roman"/>
          <w:sz w:val="28"/>
        </w:rPr>
        <w:t xml:space="preserve">телей, специалистов и родителей </w:t>
      </w:r>
      <w:r w:rsidRPr="007B12E3">
        <w:rPr>
          <w:rFonts w:ascii="Times New Roman" w:hAnsi="Times New Roman" w:cs="Times New Roman"/>
          <w:sz w:val="28"/>
        </w:rPr>
        <w:t>процентный показатель уровня усвоения обр</w:t>
      </w:r>
      <w:r>
        <w:rPr>
          <w:rFonts w:ascii="Times New Roman" w:hAnsi="Times New Roman" w:cs="Times New Roman"/>
          <w:sz w:val="28"/>
        </w:rPr>
        <w:t xml:space="preserve">азовательной программы вырос на </w:t>
      </w:r>
      <w:r w:rsidR="003E661F">
        <w:rPr>
          <w:rFonts w:ascii="Times New Roman" w:hAnsi="Times New Roman" w:cs="Times New Roman"/>
          <w:sz w:val="28"/>
        </w:rPr>
        <w:t>18</w:t>
      </w:r>
      <w:bookmarkStart w:id="0" w:name="_GoBack"/>
      <w:bookmarkEnd w:id="0"/>
      <w:r w:rsidRPr="007B12E3">
        <w:rPr>
          <w:rFonts w:ascii="Times New Roman" w:hAnsi="Times New Roman" w:cs="Times New Roman"/>
          <w:sz w:val="28"/>
        </w:rPr>
        <w:t>%</w:t>
      </w:r>
    </w:p>
    <w:p w:rsidR="008C7497" w:rsidRDefault="008C7497" w:rsidP="00587DB7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078480" cy="2537460"/>
            <wp:effectExtent l="0" t="0" r="762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47060" cy="2552700"/>
            <wp:effectExtent l="0" t="0" r="152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7DB7" w:rsidRDefault="00587DB7" w:rsidP="00587DB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7DB7">
        <w:rPr>
          <w:rFonts w:ascii="Times New Roman" w:hAnsi="Times New Roman" w:cs="Times New Roman"/>
          <w:sz w:val="28"/>
        </w:rPr>
        <w:t>Дети по</w:t>
      </w:r>
      <w:r>
        <w:rPr>
          <w:rFonts w:ascii="Times New Roman" w:hAnsi="Times New Roman" w:cs="Times New Roman"/>
          <w:sz w:val="28"/>
        </w:rPr>
        <w:t xml:space="preserve">дготовительной группы проявляют самостоятельность и </w:t>
      </w:r>
      <w:r w:rsidRPr="00587DB7">
        <w:rPr>
          <w:rFonts w:ascii="Times New Roman" w:hAnsi="Times New Roman" w:cs="Times New Roman"/>
          <w:sz w:val="28"/>
        </w:rPr>
        <w:t>независимость от взрослых, осознание себя, св</w:t>
      </w:r>
      <w:r>
        <w:rPr>
          <w:rFonts w:ascii="Times New Roman" w:hAnsi="Times New Roman" w:cs="Times New Roman"/>
          <w:sz w:val="28"/>
        </w:rPr>
        <w:t xml:space="preserve">оих достоинств и недостатков. В </w:t>
      </w:r>
      <w:r w:rsidRPr="00587DB7">
        <w:rPr>
          <w:rFonts w:ascii="Times New Roman" w:hAnsi="Times New Roman" w:cs="Times New Roman"/>
          <w:sz w:val="28"/>
        </w:rPr>
        <w:t xml:space="preserve">процессе взаимодействия со взрослыми и </w:t>
      </w:r>
      <w:r>
        <w:rPr>
          <w:rFonts w:ascii="Times New Roman" w:hAnsi="Times New Roman" w:cs="Times New Roman"/>
          <w:sz w:val="28"/>
        </w:rPr>
        <w:t xml:space="preserve">сверстниками дети осознают своё </w:t>
      </w:r>
      <w:r w:rsidRPr="00587DB7">
        <w:rPr>
          <w:rFonts w:ascii="Times New Roman" w:hAnsi="Times New Roman" w:cs="Times New Roman"/>
          <w:sz w:val="28"/>
        </w:rPr>
        <w:t>социальное «Я» и понимают характер от</w:t>
      </w:r>
      <w:r>
        <w:rPr>
          <w:rFonts w:ascii="Times New Roman" w:hAnsi="Times New Roman" w:cs="Times New Roman"/>
          <w:sz w:val="28"/>
        </w:rPr>
        <w:t xml:space="preserve">ношений к ним окружающих. </w:t>
      </w:r>
      <w:r w:rsidRPr="00587DB7">
        <w:rPr>
          <w:rFonts w:ascii="Times New Roman" w:hAnsi="Times New Roman" w:cs="Times New Roman"/>
          <w:sz w:val="28"/>
        </w:rPr>
        <w:t>Воспитанники усвоили этические мерки, принятые в обществе, способы общения</w:t>
      </w:r>
      <w:r>
        <w:rPr>
          <w:rFonts w:ascii="Times New Roman" w:hAnsi="Times New Roman" w:cs="Times New Roman"/>
          <w:sz w:val="28"/>
        </w:rPr>
        <w:t xml:space="preserve"> </w:t>
      </w:r>
      <w:r w:rsidRPr="00587DB7">
        <w:rPr>
          <w:rFonts w:ascii="Times New Roman" w:hAnsi="Times New Roman" w:cs="Times New Roman"/>
          <w:sz w:val="28"/>
        </w:rPr>
        <w:t>и взаимодействия ребенка со взрослыми и сверст</w:t>
      </w:r>
      <w:r>
        <w:rPr>
          <w:rFonts w:ascii="Times New Roman" w:hAnsi="Times New Roman" w:cs="Times New Roman"/>
          <w:sz w:val="28"/>
        </w:rPr>
        <w:t xml:space="preserve">никами во время образовательной </w:t>
      </w:r>
      <w:r w:rsidRPr="00587DB7">
        <w:rPr>
          <w:rFonts w:ascii="Times New Roman" w:hAnsi="Times New Roman" w:cs="Times New Roman"/>
          <w:sz w:val="28"/>
        </w:rPr>
        <w:t>и игровой деятельности; учатся создавать но</w:t>
      </w:r>
      <w:r>
        <w:rPr>
          <w:rFonts w:ascii="Times New Roman" w:hAnsi="Times New Roman" w:cs="Times New Roman"/>
          <w:sz w:val="28"/>
        </w:rPr>
        <w:t xml:space="preserve">вые инициативные сюжетные игры, </w:t>
      </w:r>
      <w:r w:rsidRPr="00587DB7">
        <w:rPr>
          <w:rFonts w:ascii="Times New Roman" w:hAnsi="Times New Roman" w:cs="Times New Roman"/>
          <w:sz w:val="28"/>
        </w:rPr>
        <w:t>основываясь на собственные разносторонние пр</w:t>
      </w:r>
      <w:r>
        <w:rPr>
          <w:rFonts w:ascii="Times New Roman" w:hAnsi="Times New Roman" w:cs="Times New Roman"/>
          <w:sz w:val="28"/>
        </w:rPr>
        <w:t xml:space="preserve">едставления о действительности, </w:t>
      </w:r>
      <w:r w:rsidRPr="00587DB7">
        <w:rPr>
          <w:rFonts w:ascii="Times New Roman" w:hAnsi="Times New Roman" w:cs="Times New Roman"/>
          <w:sz w:val="28"/>
        </w:rPr>
        <w:t>устанавливать ролевые отношения, создавать и</w:t>
      </w:r>
      <w:r>
        <w:rPr>
          <w:rFonts w:ascii="Times New Roman" w:hAnsi="Times New Roman" w:cs="Times New Roman"/>
          <w:sz w:val="28"/>
        </w:rPr>
        <w:t xml:space="preserve">гровую обстановку, использовать </w:t>
      </w:r>
      <w:r w:rsidRPr="00587DB7">
        <w:rPr>
          <w:rFonts w:ascii="Times New Roman" w:hAnsi="Times New Roman" w:cs="Times New Roman"/>
          <w:sz w:val="28"/>
        </w:rPr>
        <w:t>реальные предметы и их заместители, обогаща</w:t>
      </w:r>
      <w:r>
        <w:rPr>
          <w:rFonts w:ascii="Times New Roman" w:hAnsi="Times New Roman" w:cs="Times New Roman"/>
          <w:sz w:val="28"/>
        </w:rPr>
        <w:t xml:space="preserve">ть тематику и виды игр, игровые </w:t>
      </w:r>
      <w:r w:rsidRPr="00587DB7">
        <w:rPr>
          <w:rFonts w:ascii="Times New Roman" w:hAnsi="Times New Roman" w:cs="Times New Roman"/>
          <w:sz w:val="28"/>
        </w:rPr>
        <w:t>действия, сюжеты; научились устан</w:t>
      </w:r>
      <w:r>
        <w:rPr>
          <w:rFonts w:ascii="Times New Roman" w:hAnsi="Times New Roman" w:cs="Times New Roman"/>
          <w:sz w:val="28"/>
        </w:rPr>
        <w:t xml:space="preserve">авливать дружеские, партнёрские </w:t>
      </w:r>
      <w:r w:rsidRPr="00587DB7">
        <w:rPr>
          <w:rFonts w:ascii="Times New Roman" w:hAnsi="Times New Roman" w:cs="Times New Roman"/>
          <w:sz w:val="28"/>
        </w:rPr>
        <w:t>взаимоотношения в игровых объединениях по интересам, договариваться</w:t>
      </w:r>
      <w:r>
        <w:rPr>
          <w:rFonts w:ascii="Times New Roman" w:hAnsi="Times New Roman" w:cs="Times New Roman"/>
          <w:sz w:val="28"/>
        </w:rPr>
        <w:t xml:space="preserve"> друг с </w:t>
      </w:r>
      <w:r w:rsidRPr="00587DB7">
        <w:rPr>
          <w:rFonts w:ascii="Times New Roman" w:hAnsi="Times New Roman" w:cs="Times New Roman"/>
          <w:sz w:val="28"/>
        </w:rPr>
        <w:t>другом, справедливо распределять роли, разре</w:t>
      </w:r>
      <w:r>
        <w:rPr>
          <w:rFonts w:ascii="Times New Roman" w:hAnsi="Times New Roman" w:cs="Times New Roman"/>
          <w:sz w:val="28"/>
        </w:rPr>
        <w:t xml:space="preserve">шать конфликты; могут проявлять </w:t>
      </w:r>
      <w:r w:rsidRPr="00587DB7">
        <w:rPr>
          <w:rFonts w:ascii="Times New Roman" w:hAnsi="Times New Roman" w:cs="Times New Roman"/>
          <w:sz w:val="28"/>
        </w:rPr>
        <w:t>произвольность поведения, поощрять инициа</w:t>
      </w:r>
      <w:r>
        <w:rPr>
          <w:rFonts w:ascii="Times New Roman" w:hAnsi="Times New Roman" w:cs="Times New Roman"/>
          <w:sz w:val="28"/>
        </w:rPr>
        <w:t xml:space="preserve">тивность игровых замыслов. Дети </w:t>
      </w:r>
      <w:r w:rsidRPr="00587DB7">
        <w:rPr>
          <w:rFonts w:ascii="Times New Roman" w:hAnsi="Times New Roman" w:cs="Times New Roman"/>
          <w:sz w:val="28"/>
        </w:rPr>
        <w:t>уверенные, инициативные, эмоционально о</w:t>
      </w:r>
      <w:r>
        <w:rPr>
          <w:rFonts w:ascii="Times New Roman" w:hAnsi="Times New Roman" w:cs="Times New Roman"/>
          <w:sz w:val="28"/>
        </w:rPr>
        <w:t xml:space="preserve">тзывчивые; у них сформировалась </w:t>
      </w:r>
      <w:r w:rsidRPr="00587DB7">
        <w:rPr>
          <w:rFonts w:ascii="Times New Roman" w:hAnsi="Times New Roman" w:cs="Times New Roman"/>
          <w:sz w:val="28"/>
        </w:rPr>
        <w:t>готовность к совместной деятельности со сверс</w:t>
      </w:r>
      <w:r>
        <w:rPr>
          <w:rFonts w:ascii="Times New Roman" w:hAnsi="Times New Roman" w:cs="Times New Roman"/>
          <w:sz w:val="28"/>
        </w:rPr>
        <w:t xml:space="preserve">тниками; уважительное отношение </w:t>
      </w:r>
      <w:r w:rsidRPr="00587DB7">
        <w:rPr>
          <w:rFonts w:ascii="Times New Roman" w:hAnsi="Times New Roman" w:cs="Times New Roman"/>
          <w:sz w:val="28"/>
        </w:rPr>
        <w:t xml:space="preserve">и чувство принадлежности к своей семье и </w:t>
      </w:r>
      <w:r>
        <w:rPr>
          <w:rFonts w:ascii="Times New Roman" w:hAnsi="Times New Roman" w:cs="Times New Roman"/>
          <w:sz w:val="28"/>
        </w:rPr>
        <w:t xml:space="preserve">к сообществу детей и взрослых в </w:t>
      </w:r>
      <w:r w:rsidRPr="00587DB7">
        <w:rPr>
          <w:rFonts w:ascii="Times New Roman" w:hAnsi="Times New Roman" w:cs="Times New Roman"/>
          <w:sz w:val="28"/>
        </w:rPr>
        <w:t>организации; проявляют интерес к труду взрослых</w:t>
      </w:r>
      <w:r>
        <w:rPr>
          <w:rFonts w:ascii="Times New Roman" w:hAnsi="Times New Roman" w:cs="Times New Roman"/>
          <w:sz w:val="28"/>
        </w:rPr>
        <w:t xml:space="preserve"> и стремление беречь результаты </w:t>
      </w:r>
      <w:r w:rsidRPr="00587DB7">
        <w:rPr>
          <w:rFonts w:ascii="Times New Roman" w:hAnsi="Times New Roman" w:cs="Times New Roman"/>
          <w:sz w:val="28"/>
        </w:rPr>
        <w:t>их труда, получены позитивные установки к основам безоп</w:t>
      </w:r>
      <w:r>
        <w:rPr>
          <w:rFonts w:ascii="Times New Roman" w:hAnsi="Times New Roman" w:cs="Times New Roman"/>
          <w:sz w:val="28"/>
        </w:rPr>
        <w:t xml:space="preserve">асного поведения в быту, социуме, природе. </w:t>
      </w:r>
    </w:p>
    <w:p w:rsidR="00587DB7" w:rsidRDefault="00587DB7" w:rsidP="00587DB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7DB7">
        <w:rPr>
          <w:rFonts w:ascii="Times New Roman" w:hAnsi="Times New Roman" w:cs="Times New Roman"/>
          <w:sz w:val="28"/>
        </w:rPr>
        <w:t>Воспитанники сознательно относятся к со</w:t>
      </w:r>
      <w:r>
        <w:rPr>
          <w:rFonts w:ascii="Times New Roman" w:hAnsi="Times New Roman" w:cs="Times New Roman"/>
          <w:sz w:val="28"/>
        </w:rPr>
        <w:t xml:space="preserve">бственному здоровью, знают, как </w:t>
      </w:r>
      <w:r w:rsidRPr="00587DB7">
        <w:rPr>
          <w:rFonts w:ascii="Times New Roman" w:hAnsi="Times New Roman" w:cs="Times New Roman"/>
          <w:sz w:val="28"/>
        </w:rPr>
        <w:t xml:space="preserve">доступными способами </w:t>
      </w:r>
      <w:r>
        <w:rPr>
          <w:rFonts w:ascii="Times New Roman" w:hAnsi="Times New Roman" w:cs="Times New Roman"/>
          <w:sz w:val="28"/>
        </w:rPr>
        <w:t xml:space="preserve">его укреплять, владеют техникой </w:t>
      </w:r>
      <w:r w:rsidRPr="00587DB7">
        <w:rPr>
          <w:rFonts w:ascii="Times New Roman" w:hAnsi="Times New Roman" w:cs="Times New Roman"/>
          <w:sz w:val="28"/>
        </w:rPr>
        <w:t>выполнения общеразвивающих упражнени</w:t>
      </w:r>
      <w:r>
        <w:rPr>
          <w:rFonts w:ascii="Times New Roman" w:hAnsi="Times New Roman" w:cs="Times New Roman"/>
          <w:sz w:val="28"/>
        </w:rPr>
        <w:t xml:space="preserve">й, основных движений, соблюдают </w:t>
      </w:r>
      <w:r w:rsidRPr="00587DB7">
        <w:rPr>
          <w:rFonts w:ascii="Times New Roman" w:hAnsi="Times New Roman" w:cs="Times New Roman"/>
          <w:sz w:val="28"/>
        </w:rPr>
        <w:t xml:space="preserve">правила в подвижных </w:t>
      </w:r>
      <w:r w:rsidRPr="00587DB7">
        <w:rPr>
          <w:rFonts w:ascii="Times New Roman" w:hAnsi="Times New Roman" w:cs="Times New Roman"/>
          <w:sz w:val="28"/>
        </w:rPr>
        <w:lastRenderedPageBreak/>
        <w:t>играх и контролируют их выполнение, достигают результата</w:t>
      </w:r>
      <w:r>
        <w:rPr>
          <w:rFonts w:ascii="Times New Roman" w:hAnsi="Times New Roman" w:cs="Times New Roman"/>
          <w:sz w:val="28"/>
        </w:rPr>
        <w:t xml:space="preserve"> </w:t>
      </w:r>
      <w:r w:rsidRPr="00587DB7">
        <w:rPr>
          <w:rFonts w:ascii="Times New Roman" w:hAnsi="Times New Roman" w:cs="Times New Roman"/>
          <w:sz w:val="28"/>
        </w:rPr>
        <w:t>при выполнении физических упражнений. Могут уверенно ориентироваться в</w:t>
      </w:r>
      <w:r>
        <w:rPr>
          <w:rFonts w:ascii="Times New Roman" w:hAnsi="Times New Roman" w:cs="Times New Roman"/>
          <w:sz w:val="28"/>
        </w:rPr>
        <w:t xml:space="preserve"> </w:t>
      </w:r>
      <w:r w:rsidRPr="00587DB7">
        <w:rPr>
          <w:rFonts w:ascii="Times New Roman" w:hAnsi="Times New Roman" w:cs="Times New Roman"/>
          <w:sz w:val="28"/>
        </w:rPr>
        <w:t xml:space="preserve">пространстве, воспринимают показ, как образец </w:t>
      </w:r>
      <w:r>
        <w:rPr>
          <w:rFonts w:ascii="Times New Roman" w:hAnsi="Times New Roman" w:cs="Times New Roman"/>
          <w:sz w:val="28"/>
        </w:rPr>
        <w:t xml:space="preserve">для самостоятельного выполнения </w:t>
      </w:r>
      <w:r w:rsidRPr="00587DB7">
        <w:rPr>
          <w:rFonts w:ascii="Times New Roman" w:hAnsi="Times New Roman" w:cs="Times New Roman"/>
          <w:sz w:val="28"/>
        </w:rPr>
        <w:t>упражнений, оценивают движения сверстников и замеча</w:t>
      </w:r>
      <w:r>
        <w:rPr>
          <w:rFonts w:ascii="Times New Roman" w:hAnsi="Times New Roman" w:cs="Times New Roman"/>
          <w:sz w:val="28"/>
        </w:rPr>
        <w:t xml:space="preserve">ют их ошибки. У детей </w:t>
      </w:r>
      <w:r w:rsidRPr="00587DB7">
        <w:rPr>
          <w:rFonts w:ascii="Times New Roman" w:hAnsi="Times New Roman" w:cs="Times New Roman"/>
          <w:sz w:val="28"/>
        </w:rPr>
        <w:t>хорошие показатели развития двигательных ка</w:t>
      </w:r>
      <w:r>
        <w:rPr>
          <w:rFonts w:ascii="Times New Roman" w:hAnsi="Times New Roman" w:cs="Times New Roman"/>
          <w:sz w:val="28"/>
        </w:rPr>
        <w:t xml:space="preserve">честв и способностей: ловкости, </w:t>
      </w:r>
      <w:r w:rsidRPr="00587DB7">
        <w:rPr>
          <w:rFonts w:ascii="Times New Roman" w:hAnsi="Times New Roman" w:cs="Times New Roman"/>
          <w:sz w:val="28"/>
        </w:rPr>
        <w:t>общей вынослив</w:t>
      </w:r>
      <w:r>
        <w:rPr>
          <w:rFonts w:ascii="Times New Roman" w:hAnsi="Times New Roman" w:cs="Times New Roman"/>
          <w:sz w:val="28"/>
        </w:rPr>
        <w:t xml:space="preserve">ости, быстроты, гибкости, силы. </w:t>
      </w:r>
    </w:p>
    <w:p w:rsidR="00587DB7" w:rsidRPr="00587DB7" w:rsidRDefault="00587DB7" w:rsidP="00587DB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7DB7">
        <w:rPr>
          <w:rFonts w:ascii="Times New Roman" w:hAnsi="Times New Roman" w:cs="Times New Roman"/>
          <w:sz w:val="28"/>
        </w:rPr>
        <w:t>На достаточном уровне владеют разг</w:t>
      </w:r>
      <w:r>
        <w:rPr>
          <w:rFonts w:ascii="Times New Roman" w:hAnsi="Times New Roman" w:cs="Times New Roman"/>
          <w:sz w:val="28"/>
        </w:rPr>
        <w:t xml:space="preserve">оворной речью и учатся свободно </w:t>
      </w:r>
      <w:r w:rsidRPr="00587DB7">
        <w:rPr>
          <w:rFonts w:ascii="Times New Roman" w:hAnsi="Times New Roman" w:cs="Times New Roman"/>
          <w:sz w:val="28"/>
        </w:rPr>
        <w:t>общаться с близкими взрослыми и детьми; умеют п</w:t>
      </w:r>
      <w:r>
        <w:rPr>
          <w:rFonts w:ascii="Times New Roman" w:hAnsi="Times New Roman" w:cs="Times New Roman"/>
          <w:sz w:val="28"/>
        </w:rPr>
        <w:t xml:space="preserve">ривлекать к себе </w:t>
      </w:r>
      <w:r w:rsidRPr="00587DB7">
        <w:rPr>
          <w:rFonts w:ascii="Times New Roman" w:hAnsi="Times New Roman" w:cs="Times New Roman"/>
          <w:sz w:val="28"/>
        </w:rPr>
        <w:t>внимание собеседника, интересуются высказыва</w:t>
      </w:r>
      <w:r>
        <w:rPr>
          <w:rFonts w:ascii="Times New Roman" w:hAnsi="Times New Roman" w:cs="Times New Roman"/>
          <w:sz w:val="28"/>
        </w:rPr>
        <w:t xml:space="preserve">ниями партнёра, отвечают на них </w:t>
      </w:r>
      <w:r w:rsidRPr="00587DB7">
        <w:rPr>
          <w:rFonts w:ascii="Times New Roman" w:hAnsi="Times New Roman" w:cs="Times New Roman"/>
          <w:sz w:val="28"/>
        </w:rPr>
        <w:t xml:space="preserve">словом, действиями; могут выражать мысли в </w:t>
      </w:r>
      <w:r>
        <w:rPr>
          <w:rFonts w:ascii="Times New Roman" w:hAnsi="Times New Roman" w:cs="Times New Roman"/>
          <w:sz w:val="28"/>
        </w:rPr>
        <w:t xml:space="preserve">форме полных и неполных простых </w:t>
      </w:r>
      <w:r w:rsidRPr="00587DB7">
        <w:rPr>
          <w:rFonts w:ascii="Times New Roman" w:hAnsi="Times New Roman" w:cs="Times New Roman"/>
          <w:sz w:val="28"/>
        </w:rPr>
        <w:t>предложений, коротких текстов; проявляют и</w:t>
      </w:r>
      <w:r>
        <w:rPr>
          <w:rFonts w:ascii="Times New Roman" w:hAnsi="Times New Roman" w:cs="Times New Roman"/>
          <w:sz w:val="28"/>
        </w:rPr>
        <w:t xml:space="preserve">нтерес к рассказыванию знакомых </w:t>
      </w:r>
      <w:r w:rsidRPr="00587DB7">
        <w:rPr>
          <w:rFonts w:ascii="Times New Roman" w:hAnsi="Times New Roman" w:cs="Times New Roman"/>
          <w:sz w:val="28"/>
        </w:rPr>
        <w:t>сказок, передаче содержания мультфил</w:t>
      </w:r>
      <w:r>
        <w:rPr>
          <w:rFonts w:ascii="Times New Roman" w:hAnsi="Times New Roman" w:cs="Times New Roman"/>
          <w:sz w:val="28"/>
        </w:rPr>
        <w:t xml:space="preserve">ьмов, книг; могут употреблять в </w:t>
      </w:r>
      <w:r w:rsidRPr="00587DB7">
        <w:rPr>
          <w:rFonts w:ascii="Times New Roman" w:hAnsi="Times New Roman" w:cs="Times New Roman"/>
          <w:sz w:val="28"/>
        </w:rPr>
        <w:t>высказываниях разные части речи, эпитеты,</w:t>
      </w:r>
      <w:r>
        <w:rPr>
          <w:rFonts w:ascii="Times New Roman" w:hAnsi="Times New Roman" w:cs="Times New Roman"/>
          <w:sz w:val="28"/>
        </w:rPr>
        <w:t xml:space="preserve"> сравнения, синонимы; стремятся </w:t>
      </w:r>
      <w:r w:rsidRPr="00587DB7">
        <w:rPr>
          <w:rFonts w:ascii="Times New Roman" w:hAnsi="Times New Roman" w:cs="Times New Roman"/>
          <w:sz w:val="28"/>
        </w:rPr>
        <w:t>говорить грамматически правильно.</w:t>
      </w:r>
    </w:p>
    <w:p w:rsidR="00587DB7" w:rsidRPr="007B12E3" w:rsidRDefault="00587DB7" w:rsidP="00587DB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87DB7">
        <w:rPr>
          <w:rFonts w:ascii="Times New Roman" w:hAnsi="Times New Roman" w:cs="Times New Roman"/>
          <w:sz w:val="28"/>
        </w:rPr>
        <w:t>В итоге проведённого мониторингового обсле</w:t>
      </w:r>
      <w:r>
        <w:rPr>
          <w:rFonts w:ascii="Times New Roman" w:hAnsi="Times New Roman" w:cs="Times New Roman"/>
          <w:sz w:val="28"/>
        </w:rPr>
        <w:t xml:space="preserve">дования выяснено, что у детей к </w:t>
      </w:r>
      <w:r w:rsidRPr="00587DB7">
        <w:rPr>
          <w:rFonts w:ascii="Times New Roman" w:hAnsi="Times New Roman" w:cs="Times New Roman"/>
          <w:sz w:val="28"/>
        </w:rPr>
        <w:t>школе сформированы познаватель</w:t>
      </w:r>
      <w:r>
        <w:rPr>
          <w:rFonts w:ascii="Times New Roman" w:hAnsi="Times New Roman" w:cs="Times New Roman"/>
          <w:sz w:val="28"/>
        </w:rPr>
        <w:t xml:space="preserve">ные интересы, большинство детей </w:t>
      </w:r>
      <w:r w:rsidRPr="00587DB7">
        <w:rPr>
          <w:rFonts w:ascii="Times New Roman" w:hAnsi="Times New Roman" w:cs="Times New Roman"/>
          <w:sz w:val="28"/>
        </w:rPr>
        <w:t>выговаривают все звуки родного языка, сформир</w:t>
      </w:r>
      <w:r>
        <w:rPr>
          <w:rFonts w:ascii="Times New Roman" w:hAnsi="Times New Roman" w:cs="Times New Roman"/>
          <w:sz w:val="28"/>
        </w:rPr>
        <w:t xml:space="preserve">ован грамматический строй речи. </w:t>
      </w:r>
      <w:r w:rsidRPr="00587DB7">
        <w:rPr>
          <w:rFonts w:ascii="Times New Roman" w:hAnsi="Times New Roman" w:cs="Times New Roman"/>
          <w:sz w:val="28"/>
        </w:rPr>
        <w:t>Они умеют договариваться, находить</w:t>
      </w:r>
      <w:r>
        <w:rPr>
          <w:rFonts w:ascii="Times New Roman" w:hAnsi="Times New Roman" w:cs="Times New Roman"/>
          <w:sz w:val="28"/>
        </w:rPr>
        <w:t xml:space="preserve"> выход из конфликтных ситуаций. </w:t>
      </w:r>
      <w:r w:rsidRPr="00587DB7">
        <w:rPr>
          <w:rFonts w:ascii="Times New Roman" w:hAnsi="Times New Roman" w:cs="Times New Roman"/>
          <w:sz w:val="28"/>
        </w:rPr>
        <w:t xml:space="preserve">Очевидна положительная динамика результатов. Знания детей </w:t>
      </w:r>
      <w:r>
        <w:rPr>
          <w:rFonts w:ascii="Times New Roman" w:hAnsi="Times New Roman" w:cs="Times New Roman"/>
          <w:sz w:val="28"/>
        </w:rPr>
        <w:t xml:space="preserve">прочные. </w:t>
      </w:r>
      <w:r w:rsidRPr="00587DB7">
        <w:rPr>
          <w:rFonts w:ascii="Times New Roman" w:hAnsi="Times New Roman" w:cs="Times New Roman"/>
          <w:sz w:val="28"/>
        </w:rPr>
        <w:t>Дошкольники способны применять их в повседневной деятельности.</w:t>
      </w:r>
    </w:p>
    <w:sectPr w:rsidR="00587DB7" w:rsidRPr="007B12E3" w:rsidSect="00EA710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0E"/>
    <w:rsid w:val="002713F4"/>
    <w:rsid w:val="00340A13"/>
    <w:rsid w:val="003E661F"/>
    <w:rsid w:val="00587DB7"/>
    <w:rsid w:val="007B12E3"/>
    <w:rsid w:val="008C7497"/>
    <w:rsid w:val="00953A1D"/>
    <w:rsid w:val="00E530C5"/>
    <w:rsid w:val="00E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6A05"/>
  <w15:chartTrackingRefBased/>
  <w15:docId w15:val="{64FEA050-7678-4189-92D9-9C85EE39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0.43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E7-48E1-BE5C-CACE322B2D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0.59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E7-48E1-BE5C-CACE322B2D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43E7-48E1-BE5C-CACE322B2D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91945088"/>
        <c:axId val="491944432"/>
        <c:axId val="0"/>
      </c:bar3DChart>
      <c:catAx>
        <c:axId val="49194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1944432"/>
        <c:crosses val="autoZero"/>
        <c:auto val="1"/>
        <c:lblAlgn val="ctr"/>
        <c:lblOffset val="100"/>
        <c:noMultiLvlLbl val="0"/>
      </c:catAx>
      <c:valAx>
        <c:axId val="49194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9194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EA-4E17-8E31-A713BAE507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EA-4E17-8E31-A713BAE507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7EA-4E17-8E31-A713BAE507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7EA-4E17-8E31-A713BAE507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Высокая</c:v>
                </c:pt>
                <c:pt idx="1">
                  <c:v>Средняя</c:v>
                </c:pt>
                <c:pt idx="3">
                  <c:v>Низкая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0.28999999999999998</c:v>
                </c:pt>
                <c:pt idx="1">
                  <c:v>0.43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B3-4460-B08D-49A4F0C46B7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D3-4990-8B2E-724BC1B117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D3-4990-8B2E-724BC1B117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7D3-4990-8B2E-724BC1B117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7D3-4990-8B2E-724BC1B117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0.59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DA-445A-B0F1-A878A622D65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Фаиг Акберов</dc:creator>
  <cp:keywords/>
  <dc:description/>
  <cp:lastModifiedBy>Фаиг Акберов</cp:lastModifiedBy>
  <cp:revision>2</cp:revision>
  <dcterms:created xsi:type="dcterms:W3CDTF">2026-05-02T15:29:00Z</dcterms:created>
  <dcterms:modified xsi:type="dcterms:W3CDTF">2026-05-02T17:12:00Z</dcterms:modified>
</cp:coreProperties>
</file>